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A7" w:rsidRDefault="00AC40A7" w:rsidP="0021103D">
      <w:pPr>
        <w:ind w:firstLine="708"/>
        <w:jc w:val="right"/>
      </w:pPr>
    </w:p>
    <w:p w:rsidR="00AC40A7" w:rsidRDefault="00AC40A7" w:rsidP="0021103D">
      <w:pPr>
        <w:ind w:firstLine="708"/>
        <w:jc w:val="right"/>
      </w:pPr>
    </w:p>
    <w:p w:rsidR="00AC40A7" w:rsidRDefault="00AC40A7" w:rsidP="001228E9">
      <w:pPr>
        <w:ind w:firstLine="708"/>
        <w:jc w:val="both"/>
      </w:pPr>
      <w:r>
        <w:t>Pytania i odpowiedzi z dnia 21.09.2020r. dotyczące zapytania ofertowego z dnia 16.09.2020r. na wdrożenie usprawnień sensorycznych w Urzędzie Miasta Hajnówka:</w:t>
      </w:r>
    </w:p>
    <w:p w:rsidR="00AC40A7" w:rsidRDefault="00AC40A7" w:rsidP="00CE7832">
      <w:pPr>
        <w:jc w:val="both"/>
      </w:pPr>
      <w:r>
        <w:t>Dla punktu 2.1: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>1. Nie podano dokładnej liczby tabliczek. Prosimy o doprecyzowanie sformułowania „ok.30”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dokładna liczba tabliczek to 30 sztuk.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>2. Prosimy o doprecyzowanie wymiaru tabliczek „100x100”, najprawdopodobniej przez wskazanie milimetrów jako jednostki miary.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</w:t>
      </w:r>
      <w:smartTag w:uri="urn:schemas-microsoft-com:office:smarttags" w:element="metricconverter">
        <w:smartTagPr>
          <w:attr w:name="ProductID" w:val="100 mm"/>
        </w:smartTagPr>
        <w:r>
          <w:t>100 mm</w:t>
        </w:r>
      </w:smartTag>
      <w:r>
        <w:t xml:space="preserve"> x </w:t>
      </w:r>
      <w:smartTag w:uri="urn:schemas-microsoft-com:office:smarttags" w:element="metricconverter">
        <w:smartTagPr>
          <w:attr w:name="ProductID" w:val="100 mm"/>
        </w:smartTagPr>
        <w:r>
          <w:t>100 mm</w:t>
        </w:r>
      </w:smartTag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>3. Prosimy o informację czy w przypadku kiedy napis nie zmieści się na tabliczce, Wykonawca będzie mógł uzgodnić z Zamawiającym inny wymiar tabliczki (brajl nie skaluje się).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Zamawiający dopuszcza zmianę wymiarów tabliczek. 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 xml:space="preserve">4. Zamawiający wyspecyfikował „nadruk wysokociśnieniowy” dla napisów brajlowskich. Jest to najmniej trwała metoda. W związku z tym prosimy o zmianę technologii na „brajl w postaci wpuszczanych w materiał tabliczki kulek”. Jest to najczęściej stosowana technologia, która od lat sprawdza się w wielu miejscach. 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Zamawiający dopuszcza zastosowanie technologii „brajl w postaci wpuszczanych w materiał tabliczki kulek”. 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 xml:space="preserve">5. Prosimy o zastąpienie zapisu „umieszczenie na wysokości klamki” zapisem: „wymaga się, aby stosowane oznaczenia ścienne dla poszczególnych pomieszczeń montować  albo powyżej klamki, albo w taki sposób, by środek tabliczki w pionie znajdował się na wysokości </w:t>
      </w:r>
      <w:smartTag w:uri="urn:schemas-microsoft-com:office:smarttags" w:element="metricconverter">
        <w:smartTagPr>
          <w:attr w:name="ProductID" w:val="150 cm"/>
        </w:smartTagPr>
        <w:r w:rsidRPr="0052695E">
          <w:rPr>
            <w:b/>
          </w:rPr>
          <w:t>150 cm</w:t>
        </w:r>
      </w:smartTag>
      <w:r w:rsidRPr="0052695E">
        <w:rPr>
          <w:b/>
        </w:rPr>
        <w:t xml:space="preserve"> od poziomu posadzki, a w poziomie - w odległości ok.25 cm od framugi drzwi; wymaga się konsekwentnego stosowania oznaczeń dla całego obiektu - zawsze nad klamką lub zawsze na framudze; zawsze po stronie klamki, nigdy po stronie zawiasów drzwi”. Wskazany zapis figuruje m.in. w Warszawskich Standardach Dostępności, które można traktować jako zbiór dobrych praktyk, szczególnie dla audytu dostępności. 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 Zamawiający akceptuje zapis: wymaga się, aby stosowane oznaczenia ścienne dla poszczególnych pomieszczeń montować  albo powyżej klamki, albo w taki sposób, by środek tabliczki w pionie znajdował się na wysokości </w:t>
      </w:r>
      <w:smartTag w:uri="urn:schemas-microsoft-com:office:smarttags" w:element="metricconverter">
        <w:smartTagPr>
          <w:attr w:name="ProductID" w:val="150 cm"/>
        </w:smartTagPr>
        <w:r>
          <w:t>150 cm</w:t>
        </w:r>
      </w:smartTag>
      <w:r>
        <w:t xml:space="preserve"> od poziomu posadzki, a w poziomie - w odległości ok.25 cm od framugi drzwi; wymaga się konsekwentnego stosowania oznaczeń dla całego obiektu - zawsze nad klamką lub zawsze na framudze; zawsze po stronie klamki, nigdy po stronie zawiasów drzwi.</w:t>
      </w:r>
    </w:p>
    <w:p w:rsidR="00AC40A7" w:rsidRDefault="00AC40A7" w:rsidP="00CE7832">
      <w:pPr>
        <w:jc w:val="both"/>
      </w:pPr>
      <w:r>
        <w:t>Dla punktu 2.2: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 xml:space="preserve">6. Prosimy o sprecyzowanie czy podane </w:t>
      </w:r>
      <w:smartTag w:uri="urn:schemas-microsoft-com:office:smarttags" w:element="metricconverter">
        <w:smartTagPr>
          <w:attr w:name="ProductID" w:val="5 cm"/>
        </w:smartTagPr>
        <w:r w:rsidRPr="0052695E">
          <w:rPr>
            <w:b/>
          </w:rPr>
          <w:t>5 cm</w:t>
        </w:r>
      </w:smartTag>
      <w:r w:rsidRPr="0052695E">
        <w:rPr>
          <w:b/>
        </w:rPr>
        <w:t xml:space="preserve"> dotyczy szerokości taśmy. Czy Zamawiający dopuszcza jakikolwiek materiał wykonania taśm?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dotyczy szerokości taśmy. Zamawiający wymaga zastosowania jak najbardziej odpornego na uszkodzenia materiału taśmy. Zamawiający dopuszcza szerszy rozmiar taśmy 8-</w:t>
      </w:r>
      <w:smartTag w:uri="urn:schemas-microsoft-com:office:smarttags" w:element="metricconverter">
        <w:smartTagPr>
          <w:attr w:name="ProductID" w:val="10 cm"/>
        </w:smartTagPr>
        <w:r>
          <w:t>10 cm</w:t>
        </w:r>
      </w:smartTag>
      <w:r>
        <w:t xml:space="preserve">. </w:t>
      </w:r>
    </w:p>
    <w:p w:rsidR="00AC40A7" w:rsidRDefault="00AC40A7" w:rsidP="00CE7832">
      <w:pPr>
        <w:jc w:val="both"/>
      </w:pPr>
      <w:r>
        <w:t>Dla punktu 2.3: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>7. Prosimy o sprecyzowanie jakie oznaczenia kontrastowe na drzwiach Zamawiający przyjmie, w szczególności: kolor, materiał wykonania oraz szerokość.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kolor żółty, materiał wykonania najbardziej odporny na uszkodzenia, szerokość 10-</w:t>
      </w:r>
      <w:smartTag w:uri="urn:schemas-microsoft-com:office:smarttags" w:element="metricconverter">
        <w:smartTagPr>
          <w:attr w:name="ProductID" w:val="1 m"/>
        </w:smartTagPr>
        <w:r>
          <w:t>1</w:t>
        </w:r>
        <w:smartTag w:uri="urn:schemas-microsoft-com:office:smarttags" w:element="metricconverter">
          <w:smartTagPr>
            <w:attr w:name="ProductID" w:val="1 m"/>
          </w:smartTagPr>
          <w:r>
            <w:t>5 cm</w:t>
          </w:r>
        </w:smartTag>
      </w:smartTag>
      <w:r>
        <w:t xml:space="preserve">. </w:t>
      </w:r>
    </w:p>
    <w:p w:rsidR="00AC40A7" w:rsidRDefault="00AC40A7" w:rsidP="00CE7832">
      <w:pPr>
        <w:jc w:val="both"/>
      </w:pPr>
      <w:r>
        <w:t>Dla punktu 2.4: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>8. Prosimy o sprecyzowanie jakie nakładki na schody Zamawiający przyjmie, w szczególności: kolor, materiał wykonania oraz szerokość.</w:t>
      </w:r>
    </w:p>
    <w:p w:rsidR="00AC40A7" w:rsidRDefault="00AC40A7" w:rsidP="00CE7832">
      <w:pPr>
        <w:jc w:val="both"/>
      </w:pPr>
      <w:r w:rsidRPr="001228E9">
        <w:rPr>
          <w:b/>
        </w:rPr>
        <w:t xml:space="preserve">Odpowiedź: </w:t>
      </w:r>
      <w:r>
        <w:t>kolor żółty, materiał dostosowany do warunków zewnętrznych, szerokość 5-</w:t>
      </w:r>
      <w:smartTag w:uri="urn:schemas-microsoft-com:office:smarttags" w:element="metricconverter">
        <w:smartTagPr>
          <w:attr w:name="ProductID" w:val="1 m"/>
        </w:smartTagPr>
        <w:r>
          <w:t>5,5 cm</w:t>
        </w:r>
      </w:smartTag>
      <w:r>
        <w:t>.</w:t>
      </w:r>
    </w:p>
    <w:p w:rsidR="00AC40A7" w:rsidRDefault="00AC40A7" w:rsidP="00CE7832">
      <w:pPr>
        <w:jc w:val="both"/>
      </w:pPr>
      <w:r>
        <w:t>Dla punktu 2.5: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 xml:space="preserve">9. Prosimy o zmianę materiału wykonania pinesek z metalu na tworzywo sztuczne. Pineski stalowe nie posiadające specyfikacji są najgorszym możliwym materiałem, z których się je wykonuje. Znajduje to potwierdzenie m.in. w warszawskim metrze, w którym to notorycznie zgłaszane są pośliźnięcia. Metal w połączeniu z wodą stanowi bardzo śliską powierzchnię. Zgodnie z obecnymi trendami zalecamy zmianę na „pineski wykonane z tworzywa sztucznego, z nieregularną powierzchnią poślizgową” . Nie wyspecyfikowano czy pineski będą montowane na wewnątrz czy na zewnątrz obiektu. W przypadku montażu wewnątrz należy uzupełnić specyfikację o „montaż za pomocą taśmy dwustronnej”, w przypadku montażu na zewnątrz „montaż za pomocą kleju montażowego odpornego na warunki atmosferyczne”. Jednocześnie informujemy, że praktyczniejszą formą od pinesek są pola uwagi  w formie kwadratów z wypukłymi guzami. Spełniają wymogi kontrastowości, są o wiele bardziej odporne na uszkodzenia mechaniczne. </w:t>
      </w:r>
    </w:p>
    <w:p w:rsidR="00AC40A7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Pineski montowane będą na zewnątrz za pomocą kleju montażowego odpornego na warunki atmosferyczne.</w:t>
      </w:r>
    </w:p>
    <w:p w:rsidR="00AC40A7" w:rsidRDefault="00AC40A7" w:rsidP="00CE7832">
      <w:pPr>
        <w:jc w:val="both"/>
      </w:pPr>
      <w:r>
        <w:t>Dla punktu 2.6: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 xml:space="preserve">10. Prosimy o podanie specyfikacji technicznej dla pętli indukcyjnej. </w:t>
      </w:r>
    </w:p>
    <w:p w:rsidR="00AC40A7" w:rsidRDefault="00AC40A7" w:rsidP="00CE7832">
      <w:pPr>
        <w:jc w:val="both"/>
        <w:rPr>
          <w:b/>
        </w:rPr>
      </w:pPr>
      <w:r w:rsidRPr="001228E9">
        <w:rPr>
          <w:b/>
        </w:rPr>
        <w:t>Odpowiedź:</w:t>
      </w:r>
      <w:r>
        <w:rPr>
          <w:b/>
        </w:rPr>
        <w:t xml:space="preserve"> </w:t>
      </w:r>
      <w:r w:rsidRPr="004C6DCF">
        <w:t>recepcyjna pętla indukcyjna zamontowana</w:t>
      </w:r>
      <w:r>
        <w:t xml:space="preserve"> na stałe</w:t>
      </w:r>
      <w:r w:rsidRPr="004C6DCF">
        <w:t xml:space="preserve"> w Sali konferencyjnej urzędu</w:t>
      </w:r>
      <w:r>
        <w:t>. Minimalne wymagania:</w:t>
      </w:r>
    </w:p>
    <w:p w:rsidR="00AC40A7" w:rsidRPr="00481661" w:rsidRDefault="00AC40A7" w:rsidP="00481661">
      <w:pPr>
        <w:jc w:val="both"/>
      </w:pPr>
      <w:r>
        <w:t xml:space="preserve">- </w:t>
      </w:r>
      <w:r w:rsidRPr="00481661">
        <w:t xml:space="preserve">zasięg w promieniu min. </w:t>
      </w:r>
      <w:smartTag w:uri="urn:schemas-microsoft-com:office:smarttags" w:element="metricconverter">
        <w:smartTagPr>
          <w:attr w:name="ProductID" w:val="1 m"/>
        </w:smartTagPr>
        <w:r w:rsidRPr="00481661">
          <w:t>1 m</w:t>
        </w:r>
      </w:smartTag>
      <w:r w:rsidRPr="00481661">
        <w:t xml:space="preserve">,  </w:t>
      </w:r>
    </w:p>
    <w:p w:rsidR="00AC40A7" w:rsidRPr="00481661" w:rsidRDefault="00AC40A7" w:rsidP="00481661">
      <w:pPr>
        <w:jc w:val="both"/>
        <w:rPr>
          <w:rFonts w:cs="Calibri"/>
        </w:rPr>
      </w:pPr>
      <w:r>
        <w:rPr>
          <w:rFonts w:cs="Calibri"/>
        </w:rPr>
        <w:t xml:space="preserve"> - </w:t>
      </w:r>
      <w:r w:rsidRPr="00481661">
        <w:rPr>
          <w:rFonts w:cs="Calibri"/>
        </w:rPr>
        <w:t xml:space="preserve">montaż w sposób możliwie najmniej uciążliwy dla pracowników i gości </w:t>
      </w:r>
      <w:r>
        <w:rPr>
          <w:rFonts w:cs="Calibri"/>
        </w:rPr>
        <w:t xml:space="preserve"> </w:t>
      </w:r>
      <w:r w:rsidRPr="00481661">
        <w:t xml:space="preserve">Zamawiającego,  </w:t>
      </w:r>
    </w:p>
    <w:p w:rsidR="00AC40A7" w:rsidRPr="00481661" w:rsidRDefault="00AC40A7" w:rsidP="00481661">
      <w:pPr>
        <w:jc w:val="both"/>
      </w:pPr>
      <w:r>
        <w:rPr>
          <w:rFonts w:cs="Calibri"/>
        </w:rPr>
        <w:t>-</w:t>
      </w:r>
      <w:r w:rsidRPr="00481661">
        <w:rPr>
          <w:rFonts w:cs="Calibri"/>
        </w:rPr>
        <w:t xml:space="preserve"> dostarczenie ew. innych elementów wyposażenia niezbędnych </w:t>
      </w:r>
      <w:r w:rsidRPr="00481661">
        <w:t xml:space="preserve">do prawidłowego funkcjonowania urządzenia (np. mikrofonu, okablowania)  </w:t>
      </w:r>
    </w:p>
    <w:p w:rsidR="00AC40A7" w:rsidRPr="00481661" w:rsidRDefault="00AC40A7" w:rsidP="00481661">
      <w:pPr>
        <w:jc w:val="both"/>
        <w:rPr>
          <w:rFonts w:cs="Calibri"/>
        </w:rPr>
      </w:pPr>
      <w:r>
        <w:rPr>
          <w:rFonts w:cs="Calibri"/>
        </w:rPr>
        <w:t xml:space="preserve">- </w:t>
      </w:r>
      <w:r w:rsidRPr="00481661">
        <w:rPr>
          <w:rFonts w:cs="Calibri"/>
        </w:rPr>
        <w:t xml:space="preserve">zgodność z normami technicznymi dla tego rodzaju urządzeń, w szczególności z normą PN EN </w:t>
      </w:r>
    </w:p>
    <w:p w:rsidR="00AC40A7" w:rsidRPr="00481661" w:rsidRDefault="00AC40A7" w:rsidP="00481661">
      <w:pPr>
        <w:jc w:val="both"/>
      </w:pPr>
      <w:r w:rsidRPr="00481661">
        <w:t>60118-4:2007 (równoważna EN 60118-4:2006)</w:t>
      </w:r>
    </w:p>
    <w:p w:rsidR="00AC40A7" w:rsidRDefault="00AC40A7" w:rsidP="00CE7832">
      <w:pPr>
        <w:jc w:val="both"/>
      </w:pPr>
    </w:p>
    <w:p w:rsidR="00AC40A7" w:rsidRDefault="00AC40A7" w:rsidP="00CE7832">
      <w:pPr>
        <w:jc w:val="both"/>
      </w:pPr>
      <w:r>
        <w:t xml:space="preserve">Dla punktu 2.8: </w:t>
      </w:r>
    </w:p>
    <w:p w:rsidR="00AC40A7" w:rsidRPr="0052695E" w:rsidRDefault="00AC40A7" w:rsidP="00CE7832">
      <w:pPr>
        <w:jc w:val="both"/>
        <w:rPr>
          <w:b/>
        </w:rPr>
      </w:pPr>
      <w:r w:rsidRPr="0052695E">
        <w:rPr>
          <w:b/>
        </w:rPr>
        <w:t xml:space="preserve">11. Prosimy o zmianę materiału wykonania linii z metalu na tworzywo sztuczne.  Linie stalowe są nieelastyczne i ulegają uszkodzeniom oraz wygięciom. Zgodnie z obecnymi trendami zalecamy zmianę na „linie naprowadzające wykonane z tworzywa sztucznego, z nieregularną powierzchnią antypoślizgową”. Nie wyspecyfikowano czy linie będą montowane wewnątrz czy na zewnątrz obiektu. W przypadku montażu wewnątrz należy uzupełnić specyfikację o „montaż za pomocą taśmy dwustronnej”, w przypadku montażu na zewnątrz „montaż za pomocą kleju montażowego odpornego na warunki atmosferyczne”. Jednocześnie informujemy, ze praktyczniejszą formą od pojedynczych linii naprowadzających są takie w formie kwadratów z wypukłymi liniami naprowadzającymi. Spełniają wymogi kontrastowości, są o wiele bardziej odporne na uszkodzenia mechaniczne. </w:t>
      </w:r>
    </w:p>
    <w:p w:rsidR="00AC40A7" w:rsidRPr="00CE7832" w:rsidRDefault="00AC40A7" w:rsidP="00CE7832">
      <w:pPr>
        <w:jc w:val="both"/>
      </w:pPr>
      <w:r w:rsidRPr="001228E9">
        <w:rPr>
          <w:b/>
        </w:rPr>
        <w:t>Odpowiedź:</w:t>
      </w:r>
      <w:r>
        <w:t xml:space="preserve"> Linie naprowadzające będą montowane na zewnątrz za pomocą kleju montażowego odpornego na warunki atmosferyczne. </w:t>
      </w:r>
    </w:p>
    <w:sectPr w:rsidR="00AC40A7" w:rsidRPr="00CE7832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A7" w:rsidRDefault="00AC40A7" w:rsidP="00496B03">
      <w:pPr>
        <w:spacing w:after="0" w:line="240" w:lineRule="auto"/>
      </w:pPr>
      <w:r>
        <w:separator/>
      </w:r>
    </w:p>
  </w:endnote>
  <w:endnote w:type="continuationSeparator" w:id="0">
    <w:p w:rsidR="00AC40A7" w:rsidRDefault="00AC40A7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A7" w:rsidRDefault="00AC40A7" w:rsidP="00496B03">
      <w:pPr>
        <w:spacing w:after="0" w:line="240" w:lineRule="auto"/>
      </w:pPr>
      <w:r>
        <w:separator/>
      </w:r>
    </w:p>
  </w:footnote>
  <w:footnote w:type="continuationSeparator" w:id="0">
    <w:p w:rsidR="00AC40A7" w:rsidRDefault="00AC40A7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0A7" w:rsidRDefault="00AC40A7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AC40A7" w:rsidRDefault="00AC4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0"/>
  </w:num>
  <w:num w:numId="24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8">
    <w:abstractNumId w:val="6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29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0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1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2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5"/>
  </w:num>
  <w:num w:numId="37">
    <w:abstractNumId w:val="12"/>
  </w:num>
  <w:num w:numId="38">
    <w:abstractNumId w:val="5"/>
  </w:num>
  <w:num w:numId="39">
    <w:abstractNumId w:val="8"/>
  </w:num>
  <w:num w:numId="40">
    <w:abstractNumId w:val="11"/>
  </w:num>
  <w:num w:numId="41">
    <w:abstractNumId w:val="2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14F43"/>
    <w:rsid w:val="00042153"/>
    <w:rsid w:val="0009201A"/>
    <w:rsid w:val="001228E9"/>
    <w:rsid w:val="00126A34"/>
    <w:rsid w:val="001710BD"/>
    <w:rsid w:val="00173CB5"/>
    <w:rsid w:val="001B004F"/>
    <w:rsid w:val="001B31B1"/>
    <w:rsid w:val="001F3A9A"/>
    <w:rsid w:val="0021103D"/>
    <w:rsid w:val="002131AE"/>
    <w:rsid w:val="00240415"/>
    <w:rsid w:val="00241AA4"/>
    <w:rsid w:val="0024212E"/>
    <w:rsid w:val="00260AF8"/>
    <w:rsid w:val="00275A61"/>
    <w:rsid w:val="00276069"/>
    <w:rsid w:val="00281575"/>
    <w:rsid w:val="002A18D2"/>
    <w:rsid w:val="00344D32"/>
    <w:rsid w:val="0034571B"/>
    <w:rsid w:val="00346577"/>
    <w:rsid w:val="00385DBA"/>
    <w:rsid w:val="003A0EAF"/>
    <w:rsid w:val="003E5640"/>
    <w:rsid w:val="003F22D1"/>
    <w:rsid w:val="003F307A"/>
    <w:rsid w:val="0041558F"/>
    <w:rsid w:val="004254B5"/>
    <w:rsid w:val="00481661"/>
    <w:rsid w:val="00496B03"/>
    <w:rsid w:val="004A4837"/>
    <w:rsid w:val="004C6DCF"/>
    <w:rsid w:val="004D5485"/>
    <w:rsid w:val="004D5BB3"/>
    <w:rsid w:val="00514606"/>
    <w:rsid w:val="00521C5A"/>
    <w:rsid w:val="0052695E"/>
    <w:rsid w:val="0055784D"/>
    <w:rsid w:val="00592FC0"/>
    <w:rsid w:val="005A3B18"/>
    <w:rsid w:val="006147D8"/>
    <w:rsid w:val="00615EA7"/>
    <w:rsid w:val="00631B62"/>
    <w:rsid w:val="0067564A"/>
    <w:rsid w:val="00677E6F"/>
    <w:rsid w:val="0069389B"/>
    <w:rsid w:val="006B1297"/>
    <w:rsid w:val="0075350E"/>
    <w:rsid w:val="00770EC8"/>
    <w:rsid w:val="00773680"/>
    <w:rsid w:val="0078649C"/>
    <w:rsid w:val="00787DDB"/>
    <w:rsid w:val="00797106"/>
    <w:rsid w:val="007C0729"/>
    <w:rsid w:val="00877894"/>
    <w:rsid w:val="008E2BE5"/>
    <w:rsid w:val="009121DE"/>
    <w:rsid w:val="00A03EFF"/>
    <w:rsid w:val="00A06411"/>
    <w:rsid w:val="00A10335"/>
    <w:rsid w:val="00A11B6A"/>
    <w:rsid w:val="00A74336"/>
    <w:rsid w:val="00A750E2"/>
    <w:rsid w:val="00A815F1"/>
    <w:rsid w:val="00AC40A7"/>
    <w:rsid w:val="00AD7443"/>
    <w:rsid w:val="00B01BCE"/>
    <w:rsid w:val="00B17E67"/>
    <w:rsid w:val="00B343E0"/>
    <w:rsid w:val="00B4546E"/>
    <w:rsid w:val="00B96B05"/>
    <w:rsid w:val="00BA03D2"/>
    <w:rsid w:val="00BB3D64"/>
    <w:rsid w:val="00BF2A8D"/>
    <w:rsid w:val="00BF369B"/>
    <w:rsid w:val="00BF6935"/>
    <w:rsid w:val="00C11AE4"/>
    <w:rsid w:val="00C729DF"/>
    <w:rsid w:val="00CA2B50"/>
    <w:rsid w:val="00CA3B56"/>
    <w:rsid w:val="00CD1AFE"/>
    <w:rsid w:val="00CD3B90"/>
    <w:rsid w:val="00CE0E17"/>
    <w:rsid w:val="00CE3B05"/>
    <w:rsid w:val="00CE4361"/>
    <w:rsid w:val="00CE7832"/>
    <w:rsid w:val="00D01038"/>
    <w:rsid w:val="00D16082"/>
    <w:rsid w:val="00D17C81"/>
    <w:rsid w:val="00D462CC"/>
    <w:rsid w:val="00D67C7C"/>
    <w:rsid w:val="00D80413"/>
    <w:rsid w:val="00D8727A"/>
    <w:rsid w:val="00D91B62"/>
    <w:rsid w:val="00DB1754"/>
    <w:rsid w:val="00DE7A35"/>
    <w:rsid w:val="00E26C23"/>
    <w:rsid w:val="00E32620"/>
    <w:rsid w:val="00E43A65"/>
    <w:rsid w:val="00E469DE"/>
    <w:rsid w:val="00E4793C"/>
    <w:rsid w:val="00E565A9"/>
    <w:rsid w:val="00E63A2D"/>
    <w:rsid w:val="00E75E5A"/>
    <w:rsid w:val="00E96521"/>
    <w:rsid w:val="00EA5DC5"/>
    <w:rsid w:val="00EB5149"/>
    <w:rsid w:val="00EE6BB1"/>
    <w:rsid w:val="00F3033C"/>
    <w:rsid w:val="00F31029"/>
    <w:rsid w:val="00F843C7"/>
    <w:rsid w:val="00F92BDB"/>
    <w:rsid w:val="00FA5151"/>
    <w:rsid w:val="00FB2D08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6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E7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CE78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682</TotalTime>
  <Pages>3</Pages>
  <Words>824</Words>
  <Characters>4947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43</cp:revision>
  <cp:lastPrinted>2020-09-22T06:43:00Z</cp:lastPrinted>
  <dcterms:created xsi:type="dcterms:W3CDTF">2019-10-26T10:08:00Z</dcterms:created>
  <dcterms:modified xsi:type="dcterms:W3CDTF">2020-09-22T06:53:00Z</dcterms:modified>
</cp:coreProperties>
</file>